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9EA" w:rsidRDefault="005349EA" w:rsidP="00A359D3">
      <w:pPr>
        <w:widowControl w:val="0"/>
        <w:spacing w:after="0"/>
        <w:jc w:val="right"/>
        <w:rPr>
          <w:b/>
          <w:kern w:val="32"/>
        </w:rPr>
      </w:pPr>
      <w:bookmarkStart w:id="0" w:name="_Toc121292706"/>
      <w:bookmarkStart w:id="1" w:name="_Toc127334286"/>
    </w:p>
    <w:p w:rsidR="00A359D3" w:rsidRPr="009262B2" w:rsidRDefault="00A359D3" w:rsidP="00A359D3">
      <w:pPr>
        <w:widowControl w:val="0"/>
        <w:spacing w:after="0"/>
        <w:jc w:val="right"/>
        <w:rPr>
          <w:b/>
          <w:kern w:val="32"/>
        </w:rPr>
      </w:pPr>
      <w:r w:rsidRPr="009262B2">
        <w:rPr>
          <w:b/>
          <w:kern w:val="32"/>
        </w:rPr>
        <w:t>Приложение № 3</w:t>
      </w:r>
    </w:p>
    <w:p w:rsidR="00A359D3" w:rsidRPr="009262B2" w:rsidRDefault="00A359D3" w:rsidP="00A359D3">
      <w:pPr>
        <w:widowControl w:val="0"/>
        <w:spacing w:after="0"/>
        <w:jc w:val="right"/>
        <w:rPr>
          <w:b/>
          <w:kern w:val="32"/>
        </w:rPr>
      </w:pPr>
      <w:r w:rsidRPr="009262B2">
        <w:rPr>
          <w:b/>
          <w:kern w:val="32"/>
        </w:rPr>
        <w:t>к конкурсной документации</w:t>
      </w:r>
    </w:p>
    <w:p w:rsidR="00A359D3" w:rsidRDefault="00A359D3" w:rsidP="00A359D3">
      <w:pPr>
        <w:widowControl w:val="0"/>
        <w:spacing w:after="0"/>
        <w:rPr>
          <w:kern w:val="32"/>
        </w:rPr>
      </w:pPr>
    </w:p>
    <w:p w:rsidR="00A359D3" w:rsidRPr="009262B2" w:rsidRDefault="00A359D3" w:rsidP="00A359D3">
      <w:pPr>
        <w:widowControl w:val="0"/>
        <w:spacing w:after="0"/>
        <w:rPr>
          <w:kern w:val="32"/>
        </w:rPr>
      </w:pPr>
      <w:r w:rsidRPr="009262B2">
        <w:rPr>
          <w:kern w:val="32"/>
        </w:rPr>
        <w:t>На бланке организации</w:t>
      </w:r>
    </w:p>
    <w:p w:rsidR="00A359D3" w:rsidRPr="009262B2" w:rsidRDefault="00A359D3" w:rsidP="00A359D3">
      <w:pPr>
        <w:widowControl w:val="0"/>
        <w:spacing w:after="0"/>
        <w:rPr>
          <w:kern w:val="32"/>
        </w:rPr>
      </w:pPr>
    </w:p>
    <w:p w:rsidR="00A359D3" w:rsidRPr="009262B2" w:rsidRDefault="00A359D3" w:rsidP="00A359D3">
      <w:pPr>
        <w:widowControl w:val="0"/>
        <w:spacing w:after="0"/>
        <w:rPr>
          <w:kern w:val="32"/>
        </w:rPr>
      </w:pPr>
    </w:p>
    <w:p w:rsidR="00A359D3" w:rsidRPr="009262B2" w:rsidRDefault="00A359D3" w:rsidP="00A359D3">
      <w:pPr>
        <w:widowControl w:val="0"/>
        <w:spacing w:after="0"/>
        <w:rPr>
          <w:kern w:val="32"/>
        </w:rPr>
      </w:pPr>
      <w:r w:rsidRPr="009262B2">
        <w:rPr>
          <w:kern w:val="32"/>
        </w:rPr>
        <w:t>Дата, исх. номер</w:t>
      </w:r>
    </w:p>
    <w:p w:rsidR="00A359D3" w:rsidRPr="009262B2" w:rsidRDefault="00A359D3" w:rsidP="00A359D3"/>
    <w:p w:rsidR="00A359D3" w:rsidRDefault="00A359D3" w:rsidP="00A359D3">
      <w:pPr>
        <w:spacing w:after="0"/>
        <w:ind w:right="566"/>
        <w:jc w:val="center"/>
        <w:rPr>
          <w:b/>
          <w:kern w:val="32"/>
        </w:rPr>
      </w:pPr>
    </w:p>
    <w:p w:rsidR="00A359D3" w:rsidRDefault="00A359D3" w:rsidP="00A359D3">
      <w:pPr>
        <w:spacing w:after="0"/>
        <w:ind w:right="566"/>
        <w:jc w:val="center"/>
        <w:rPr>
          <w:b/>
          <w:kern w:val="32"/>
        </w:rPr>
      </w:pPr>
    </w:p>
    <w:p w:rsidR="00A359D3" w:rsidRPr="009262B2" w:rsidRDefault="00A359D3" w:rsidP="00A359D3">
      <w:pPr>
        <w:spacing w:after="0"/>
        <w:ind w:right="566"/>
        <w:jc w:val="center"/>
        <w:rPr>
          <w:b/>
          <w:kern w:val="32"/>
        </w:rPr>
      </w:pPr>
      <w:r w:rsidRPr="009262B2">
        <w:rPr>
          <w:b/>
          <w:kern w:val="32"/>
        </w:rPr>
        <w:t>КОНКУРСНЫЕ ПРЕДЛОЖЕНИЯ,</w:t>
      </w:r>
    </w:p>
    <w:p w:rsidR="00A359D3" w:rsidRPr="009262B2" w:rsidRDefault="00A359D3" w:rsidP="00A359D3">
      <w:pPr>
        <w:spacing w:after="0"/>
        <w:ind w:right="566"/>
        <w:jc w:val="center"/>
        <w:rPr>
          <w:kern w:val="32"/>
        </w:rPr>
      </w:pPr>
      <w:r w:rsidRPr="009262B2">
        <w:rPr>
          <w:kern w:val="32"/>
        </w:rPr>
        <w:t xml:space="preserve">представляемые для участия в открытом конкурсе </w:t>
      </w:r>
      <w:r w:rsidRPr="009262B2">
        <w:rPr>
          <w:rFonts w:eastAsia="Calibri"/>
        </w:rPr>
        <w:t>по отбору</w:t>
      </w:r>
    </w:p>
    <w:p w:rsidR="00A359D3" w:rsidRPr="009262B2" w:rsidRDefault="00A359D3" w:rsidP="00A359D3">
      <w:pPr>
        <w:autoSpaceDE w:val="0"/>
        <w:autoSpaceDN w:val="0"/>
        <w:adjustRightInd w:val="0"/>
        <w:spacing w:after="0"/>
        <w:contextualSpacing/>
        <w:jc w:val="center"/>
        <w:rPr>
          <w:rFonts w:eastAsia="Calibri"/>
        </w:rPr>
      </w:pPr>
      <w:r w:rsidRPr="009262B2">
        <w:rPr>
          <w:rFonts w:eastAsia="Calibri"/>
        </w:rPr>
        <w:t xml:space="preserve">российской кредитной организации на право заключения </w:t>
      </w:r>
      <w:r w:rsidR="00BF2B67" w:rsidRPr="00BF2B67">
        <w:rPr>
          <w:rFonts w:eastAsia="Calibri"/>
        </w:rPr>
        <w:t>договоров 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в целях формирования фондов капитального ремонта общего имущества в многоквартирных домах, расположенных на территории Республики Бурятия</w:t>
      </w:r>
      <w:r w:rsidR="00BF2B67">
        <w:rPr>
          <w:rFonts w:eastAsia="Calibri"/>
        </w:rPr>
        <w:t xml:space="preserve"> </w:t>
      </w:r>
    </w:p>
    <w:p w:rsidR="00A22863" w:rsidRPr="007B0D3F" w:rsidRDefault="00A22863" w:rsidP="00A22863">
      <w:pPr>
        <w:autoSpaceDE w:val="0"/>
        <w:autoSpaceDN w:val="0"/>
        <w:adjustRightInd w:val="0"/>
        <w:spacing w:after="0" w:line="360" w:lineRule="auto"/>
        <w:ind w:firstLine="851"/>
        <w:jc w:val="center"/>
        <w:rPr>
          <w:b/>
          <w:bCs/>
        </w:rPr>
      </w:pPr>
    </w:p>
    <w:tbl>
      <w:tblPr>
        <w:tblW w:w="9771" w:type="dxa"/>
        <w:tblLayout w:type="fixed"/>
        <w:tblLook w:val="04A0" w:firstRow="1" w:lastRow="0" w:firstColumn="1" w:lastColumn="0" w:noHBand="0" w:noVBand="1"/>
      </w:tblPr>
      <w:tblGrid>
        <w:gridCol w:w="485"/>
        <w:gridCol w:w="4467"/>
        <w:gridCol w:w="4819"/>
      </w:tblGrid>
      <w:tr w:rsidR="00A22863" w:rsidRPr="007B0D3F" w:rsidTr="00A22863">
        <w:trPr>
          <w:trHeight w:val="870"/>
        </w:trPr>
        <w:tc>
          <w:tcPr>
            <w:tcW w:w="48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22863" w:rsidRPr="007B0D3F" w:rsidRDefault="00A22863" w:rsidP="00F8661E">
            <w:pPr>
              <w:spacing w:after="0" w:line="360" w:lineRule="auto"/>
              <w:jc w:val="center"/>
              <w:rPr>
                <w:b/>
                <w:bCs/>
                <w:color w:val="000000"/>
              </w:rPr>
            </w:pPr>
            <w:r w:rsidRPr="007B0D3F">
              <w:rPr>
                <w:b/>
                <w:bCs/>
                <w:color w:val="000000"/>
              </w:rPr>
              <w:t>№</w:t>
            </w:r>
          </w:p>
        </w:tc>
        <w:tc>
          <w:tcPr>
            <w:tcW w:w="4467" w:type="dxa"/>
            <w:tcBorders>
              <w:top w:val="single" w:sz="8" w:space="0" w:color="auto"/>
              <w:left w:val="nil"/>
              <w:bottom w:val="single" w:sz="8" w:space="0" w:color="auto"/>
              <w:right w:val="single" w:sz="4" w:space="0" w:color="auto"/>
            </w:tcBorders>
            <w:shd w:val="clear" w:color="auto" w:fill="auto"/>
            <w:vAlign w:val="center"/>
            <w:hideMark/>
          </w:tcPr>
          <w:p w:rsidR="00A22863" w:rsidRPr="007B0D3F" w:rsidRDefault="00A22863" w:rsidP="00F8661E">
            <w:pPr>
              <w:spacing w:after="0" w:line="360" w:lineRule="auto"/>
              <w:jc w:val="center"/>
              <w:rPr>
                <w:b/>
                <w:bCs/>
                <w:color w:val="000000"/>
              </w:rPr>
            </w:pPr>
            <w:r w:rsidRPr="007B0D3F">
              <w:rPr>
                <w:b/>
                <w:bCs/>
                <w:color w:val="000000"/>
              </w:rPr>
              <w:t>Критерии оценки</w:t>
            </w:r>
          </w:p>
        </w:tc>
        <w:tc>
          <w:tcPr>
            <w:tcW w:w="4819"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22863" w:rsidRPr="007B0D3F" w:rsidRDefault="00A22863" w:rsidP="00A22863">
            <w:pPr>
              <w:spacing w:after="0" w:line="360" w:lineRule="auto"/>
              <w:jc w:val="center"/>
              <w:rPr>
                <w:b/>
                <w:bCs/>
                <w:color w:val="000000"/>
              </w:rPr>
            </w:pPr>
            <w:r w:rsidRPr="007B0D3F">
              <w:rPr>
                <w:b/>
                <w:bCs/>
                <w:color w:val="000000"/>
              </w:rPr>
              <w:t>П</w:t>
            </w:r>
            <w:r>
              <w:rPr>
                <w:b/>
                <w:bCs/>
                <w:color w:val="000000"/>
              </w:rPr>
              <w:t>редложения претендентов</w:t>
            </w:r>
          </w:p>
        </w:tc>
      </w:tr>
      <w:tr w:rsidR="00A22863" w:rsidRPr="007B0D3F" w:rsidTr="00A22863">
        <w:trPr>
          <w:trHeight w:val="630"/>
        </w:trPr>
        <w:tc>
          <w:tcPr>
            <w:tcW w:w="485" w:type="dxa"/>
            <w:vMerge w:val="restart"/>
            <w:tcBorders>
              <w:top w:val="nil"/>
              <w:left w:val="single" w:sz="8" w:space="0" w:color="auto"/>
              <w:bottom w:val="nil"/>
              <w:right w:val="single" w:sz="4" w:space="0" w:color="auto"/>
            </w:tcBorders>
            <w:shd w:val="clear" w:color="auto" w:fill="auto"/>
            <w:vAlign w:val="center"/>
            <w:hideMark/>
          </w:tcPr>
          <w:p w:rsidR="00A22863" w:rsidRPr="007B0D3F" w:rsidRDefault="00A22863" w:rsidP="00F8661E">
            <w:pPr>
              <w:spacing w:after="0"/>
              <w:jc w:val="center"/>
              <w:rPr>
                <w:color w:val="000000"/>
              </w:rPr>
            </w:pPr>
            <w:r w:rsidRPr="007B0D3F">
              <w:rPr>
                <w:color w:val="000000"/>
              </w:rPr>
              <w:t>1</w:t>
            </w:r>
          </w:p>
        </w:tc>
        <w:tc>
          <w:tcPr>
            <w:tcW w:w="4467" w:type="dxa"/>
            <w:vMerge w:val="restart"/>
            <w:tcBorders>
              <w:top w:val="nil"/>
              <w:left w:val="nil"/>
              <w:right w:val="single" w:sz="4" w:space="0" w:color="auto"/>
            </w:tcBorders>
            <w:shd w:val="clear" w:color="auto" w:fill="auto"/>
            <w:vAlign w:val="center"/>
            <w:hideMark/>
          </w:tcPr>
          <w:p w:rsidR="00A22863" w:rsidRPr="007B0D3F" w:rsidRDefault="00A22863" w:rsidP="00F8661E">
            <w:pPr>
              <w:spacing w:after="0"/>
              <w:rPr>
                <w:color w:val="000000"/>
              </w:rPr>
            </w:pPr>
            <w:r w:rsidRPr="007B0D3F">
              <w:rPr>
                <w:color w:val="000000"/>
              </w:rPr>
              <w:t>Величина собственных средств кредитной организации на 01.01.2014г.</w:t>
            </w:r>
          </w:p>
        </w:tc>
        <w:tc>
          <w:tcPr>
            <w:tcW w:w="4819" w:type="dxa"/>
            <w:vMerge w:val="restart"/>
            <w:tcBorders>
              <w:top w:val="nil"/>
              <w:left w:val="single" w:sz="4" w:space="0" w:color="auto"/>
              <w:bottom w:val="single" w:sz="4" w:space="0" w:color="auto"/>
              <w:right w:val="single" w:sz="8" w:space="0" w:color="auto"/>
            </w:tcBorders>
            <w:shd w:val="clear" w:color="auto" w:fill="auto"/>
            <w:vAlign w:val="center"/>
            <w:hideMark/>
          </w:tcPr>
          <w:p w:rsidR="00A22863" w:rsidRPr="007B0D3F" w:rsidRDefault="00A22863" w:rsidP="00F8661E">
            <w:pPr>
              <w:spacing w:after="0"/>
              <w:jc w:val="center"/>
              <w:rPr>
                <w:color w:val="000000"/>
              </w:rPr>
            </w:pPr>
          </w:p>
        </w:tc>
      </w:tr>
      <w:tr w:rsidR="00A22863" w:rsidRPr="007B0D3F" w:rsidTr="00A22863">
        <w:trPr>
          <w:trHeight w:val="630"/>
        </w:trPr>
        <w:tc>
          <w:tcPr>
            <w:tcW w:w="485" w:type="dxa"/>
            <w:vMerge/>
            <w:tcBorders>
              <w:top w:val="nil"/>
              <w:left w:val="single" w:sz="8" w:space="0" w:color="auto"/>
              <w:bottom w:val="nil"/>
              <w:right w:val="single" w:sz="4" w:space="0" w:color="auto"/>
            </w:tcBorders>
            <w:vAlign w:val="center"/>
            <w:hideMark/>
          </w:tcPr>
          <w:p w:rsidR="00A22863" w:rsidRPr="007B0D3F" w:rsidRDefault="00A22863" w:rsidP="00F8661E">
            <w:pPr>
              <w:spacing w:after="0"/>
              <w:rPr>
                <w:color w:val="000000"/>
              </w:rPr>
            </w:pPr>
          </w:p>
        </w:tc>
        <w:tc>
          <w:tcPr>
            <w:tcW w:w="4467" w:type="dxa"/>
            <w:vMerge/>
            <w:tcBorders>
              <w:left w:val="nil"/>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top w:val="nil"/>
              <w:left w:val="single" w:sz="4" w:space="0" w:color="auto"/>
              <w:bottom w:val="single" w:sz="4" w:space="0" w:color="auto"/>
              <w:right w:val="single" w:sz="8" w:space="0" w:color="auto"/>
            </w:tcBorders>
            <w:vAlign w:val="center"/>
            <w:hideMark/>
          </w:tcPr>
          <w:p w:rsidR="00A22863" w:rsidRPr="007B0D3F" w:rsidRDefault="00A22863" w:rsidP="00F8661E">
            <w:pPr>
              <w:spacing w:after="0"/>
              <w:rPr>
                <w:color w:val="000000"/>
              </w:rPr>
            </w:pPr>
          </w:p>
        </w:tc>
      </w:tr>
      <w:tr w:rsidR="00A22863" w:rsidRPr="007B0D3F" w:rsidTr="00A22863">
        <w:trPr>
          <w:trHeight w:val="630"/>
        </w:trPr>
        <w:tc>
          <w:tcPr>
            <w:tcW w:w="485" w:type="dxa"/>
            <w:vMerge/>
            <w:tcBorders>
              <w:top w:val="nil"/>
              <w:left w:val="single" w:sz="8" w:space="0" w:color="auto"/>
              <w:bottom w:val="nil"/>
              <w:right w:val="single" w:sz="4" w:space="0" w:color="auto"/>
            </w:tcBorders>
            <w:vAlign w:val="center"/>
            <w:hideMark/>
          </w:tcPr>
          <w:p w:rsidR="00A22863" w:rsidRPr="007B0D3F" w:rsidRDefault="00A22863" w:rsidP="00F8661E">
            <w:pPr>
              <w:spacing w:after="0"/>
              <w:rPr>
                <w:color w:val="000000"/>
              </w:rPr>
            </w:pPr>
          </w:p>
        </w:tc>
        <w:tc>
          <w:tcPr>
            <w:tcW w:w="4467" w:type="dxa"/>
            <w:vMerge/>
            <w:tcBorders>
              <w:left w:val="nil"/>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top w:val="nil"/>
              <w:left w:val="single" w:sz="4" w:space="0" w:color="auto"/>
              <w:bottom w:val="single" w:sz="4" w:space="0" w:color="auto"/>
              <w:right w:val="single" w:sz="8" w:space="0" w:color="auto"/>
            </w:tcBorders>
            <w:vAlign w:val="center"/>
            <w:hideMark/>
          </w:tcPr>
          <w:p w:rsidR="00A22863" w:rsidRPr="007B0D3F" w:rsidRDefault="00A22863" w:rsidP="00F8661E">
            <w:pPr>
              <w:spacing w:after="0"/>
              <w:rPr>
                <w:color w:val="000000"/>
              </w:rPr>
            </w:pPr>
          </w:p>
        </w:tc>
      </w:tr>
      <w:tr w:rsidR="00A22863" w:rsidRPr="007B0D3F" w:rsidTr="00A22863">
        <w:trPr>
          <w:trHeight w:val="645"/>
        </w:trPr>
        <w:tc>
          <w:tcPr>
            <w:tcW w:w="485" w:type="dxa"/>
            <w:vMerge/>
            <w:tcBorders>
              <w:top w:val="nil"/>
              <w:left w:val="single" w:sz="8" w:space="0" w:color="auto"/>
              <w:bottom w:val="nil"/>
              <w:right w:val="single" w:sz="4" w:space="0" w:color="auto"/>
            </w:tcBorders>
            <w:vAlign w:val="center"/>
            <w:hideMark/>
          </w:tcPr>
          <w:p w:rsidR="00A22863" w:rsidRPr="007B0D3F" w:rsidRDefault="00A22863" w:rsidP="00F8661E">
            <w:pPr>
              <w:spacing w:after="0"/>
              <w:rPr>
                <w:color w:val="000000"/>
              </w:rPr>
            </w:pPr>
          </w:p>
        </w:tc>
        <w:tc>
          <w:tcPr>
            <w:tcW w:w="4467" w:type="dxa"/>
            <w:vMerge/>
            <w:tcBorders>
              <w:left w:val="nil"/>
              <w:bottom w:val="nil"/>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top w:val="nil"/>
              <w:left w:val="single" w:sz="4" w:space="0" w:color="auto"/>
              <w:bottom w:val="single" w:sz="4" w:space="0" w:color="auto"/>
              <w:right w:val="single" w:sz="8" w:space="0" w:color="auto"/>
            </w:tcBorders>
            <w:vAlign w:val="center"/>
            <w:hideMark/>
          </w:tcPr>
          <w:p w:rsidR="00A22863" w:rsidRPr="007B0D3F" w:rsidRDefault="00A22863" w:rsidP="00F8661E">
            <w:pPr>
              <w:spacing w:after="0"/>
              <w:rPr>
                <w:color w:val="000000"/>
              </w:rPr>
            </w:pPr>
          </w:p>
        </w:tc>
      </w:tr>
      <w:tr w:rsidR="00A22863" w:rsidRPr="007B0D3F" w:rsidTr="000971D4">
        <w:trPr>
          <w:trHeight w:val="276"/>
        </w:trPr>
        <w:tc>
          <w:tcPr>
            <w:tcW w:w="485" w:type="dxa"/>
            <w:vMerge/>
            <w:tcBorders>
              <w:top w:val="single" w:sz="8" w:space="0" w:color="auto"/>
              <w:left w:val="single" w:sz="8" w:space="0" w:color="auto"/>
              <w:bottom w:val="single" w:sz="8" w:space="0" w:color="000000"/>
              <w:right w:val="single" w:sz="4" w:space="0" w:color="auto"/>
            </w:tcBorders>
            <w:vAlign w:val="center"/>
            <w:hideMark/>
          </w:tcPr>
          <w:p w:rsidR="00A22863" w:rsidRPr="007B0D3F" w:rsidRDefault="00A22863" w:rsidP="00F8661E">
            <w:pPr>
              <w:spacing w:after="0"/>
              <w:rPr>
                <w:color w:val="000000"/>
              </w:rPr>
            </w:pPr>
          </w:p>
        </w:tc>
        <w:tc>
          <w:tcPr>
            <w:tcW w:w="4467" w:type="dxa"/>
            <w:vMerge/>
            <w:tcBorders>
              <w:top w:val="single" w:sz="8" w:space="0" w:color="auto"/>
              <w:left w:val="single" w:sz="4" w:space="0" w:color="auto"/>
              <w:bottom w:val="single" w:sz="8" w:space="0" w:color="000000"/>
              <w:right w:val="single" w:sz="4" w:space="0" w:color="auto"/>
            </w:tcBorders>
            <w:vAlign w:val="center"/>
            <w:hideMark/>
          </w:tcPr>
          <w:p w:rsidR="00A22863" w:rsidRPr="007B0D3F" w:rsidRDefault="00A22863" w:rsidP="00F8661E">
            <w:pPr>
              <w:spacing w:after="0"/>
              <w:rPr>
                <w:color w:val="000000"/>
              </w:rPr>
            </w:pPr>
          </w:p>
        </w:tc>
        <w:tc>
          <w:tcPr>
            <w:tcW w:w="4819" w:type="dxa"/>
            <w:vMerge/>
            <w:tcBorders>
              <w:top w:val="single" w:sz="8" w:space="0" w:color="auto"/>
              <w:left w:val="single" w:sz="4" w:space="0" w:color="auto"/>
              <w:bottom w:val="single" w:sz="8" w:space="0" w:color="000000"/>
              <w:right w:val="single" w:sz="8" w:space="0" w:color="auto"/>
            </w:tcBorders>
            <w:vAlign w:val="center"/>
            <w:hideMark/>
          </w:tcPr>
          <w:p w:rsidR="00A22863" w:rsidRPr="007B0D3F" w:rsidRDefault="00A22863" w:rsidP="00F8661E">
            <w:pPr>
              <w:spacing w:after="0"/>
              <w:rPr>
                <w:color w:val="000000"/>
              </w:rPr>
            </w:pPr>
          </w:p>
        </w:tc>
      </w:tr>
      <w:tr w:rsidR="00A22863" w:rsidRPr="007B0D3F" w:rsidTr="00A22863">
        <w:trPr>
          <w:trHeight w:val="435"/>
        </w:trPr>
        <w:tc>
          <w:tcPr>
            <w:tcW w:w="485" w:type="dxa"/>
            <w:vMerge w:val="restart"/>
            <w:tcBorders>
              <w:top w:val="single" w:sz="8" w:space="0" w:color="auto"/>
              <w:left w:val="single" w:sz="8" w:space="0" w:color="auto"/>
              <w:right w:val="single" w:sz="4" w:space="0" w:color="auto"/>
            </w:tcBorders>
            <w:vAlign w:val="center"/>
          </w:tcPr>
          <w:p w:rsidR="00A22863" w:rsidRPr="007B0D3F" w:rsidRDefault="00A22863" w:rsidP="00F8661E">
            <w:pPr>
              <w:spacing w:after="0"/>
              <w:jc w:val="center"/>
              <w:rPr>
                <w:color w:val="000000"/>
              </w:rPr>
            </w:pPr>
            <w:r w:rsidRPr="007B0D3F">
              <w:rPr>
                <w:color w:val="000000"/>
              </w:rPr>
              <w:t>2</w:t>
            </w:r>
          </w:p>
        </w:tc>
        <w:tc>
          <w:tcPr>
            <w:tcW w:w="4467" w:type="dxa"/>
            <w:vMerge w:val="restart"/>
            <w:tcBorders>
              <w:top w:val="single" w:sz="8" w:space="0" w:color="auto"/>
              <w:left w:val="single" w:sz="4" w:space="0" w:color="auto"/>
              <w:right w:val="single" w:sz="4" w:space="0" w:color="auto"/>
            </w:tcBorders>
            <w:vAlign w:val="center"/>
          </w:tcPr>
          <w:p w:rsidR="00A22863" w:rsidRPr="007B0D3F" w:rsidRDefault="00A22863" w:rsidP="00F8661E">
            <w:pPr>
              <w:spacing w:after="0"/>
              <w:rPr>
                <w:color w:val="000000"/>
              </w:rPr>
            </w:pPr>
            <w:r w:rsidRPr="007B0D3F">
              <w:rPr>
                <w:color w:val="000000"/>
              </w:rPr>
              <w:t>Доля государства в уставном капитале кредитной организации</w:t>
            </w:r>
          </w:p>
        </w:tc>
        <w:tc>
          <w:tcPr>
            <w:tcW w:w="4819" w:type="dxa"/>
            <w:vMerge w:val="restart"/>
            <w:tcBorders>
              <w:top w:val="single" w:sz="8" w:space="0" w:color="auto"/>
              <w:left w:val="single" w:sz="4" w:space="0" w:color="auto"/>
              <w:right w:val="single" w:sz="8" w:space="0" w:color="auto"/>
            </w:tcBorders>
            <w:vAlign w:val="center"/>
          </w:tcPr>
          <w:p w:rsidR="00A22863" w:rsidRPr="007B0D3F" w:rsidRDefault="00A22863" w:rsidP="00F8661E">
            <w:pPr>
              <w:spacing w:after="0"/>
              <w:jc w:val="center"/>
              <w:rPr>
                <w:color w:val="000000"/>
              </w:rPr>
            </w:pPr>
          </w:p>
        </w:tc>
      </w:tr>
      <w:tr w:rsidR="00A22863" w:rsidRPr="007B0D3F" w:rsidTr="00A22863">
        <w:trPr>
          <w:trHeight w:val="435"/>
        </w:trPr>
        <w:tc>
          <w:tcPr>
            <w:tcW w:w="485" w:type="dxa"/>
            <w:vMerge/>
            <w:tcBorders>
              <w:left w:val="single" w:sz="8" w:space="0" w:color="auto"/>
              <w:right w:val="single" w:sz="4" w:space="0" w:color="auto"/>
            </w:tcBorders>
            <w:vAlign w:val="center"/>
          </w:tcPr>
          <w:p w:rsidR="00A22863" w:rsidRPr="007B0D3F" w:rsidRDefault="00A22863" w:rsidP="00F8661E">
            <w:pPr>
              <w:spacing w:after="0"/>
              <w:rPr>
                <w:color w:val="000000"/>
              </w:rPr>
            </w:pPr>
          </w:p>
        </w:tc>
        <w:tc>
          <w:tcPr>
            <w:tcW w:w="4467" w:type="dxa"/>
            <w:vMerge/>
            <w:tcBorders>
              <w:left w:val="single" w:sz="4" w:space="0" w:color="auto"/>
              <w:right w:val="single" w:sz="4" w:space="0" w:color="auto"/>
            </w:tcBorders>
            <w:vAlign w:val="center"/>
          </w:tcPr>
          <w:p w:rsidR="00A22863" w:rsidRPr="007B0D3F" w:rsidRDefault="00A22863" w:rsidP="00F8661E">
            <w:pPr>
              <w:spacing w:after="0"/>
              <w:rPr>
                <w:color w:val="000000"/>
              </w:rPr>
            </w:pPr>
          </w:p>
        </w:tc>
        <w:tc>
          <w:tcPr>
            <w:tcW w:w="4819" w:type="dxa"/>
            <w:vMerge/>
            <w:tcBorders>
              <w:left w:val="single" w:sz="4" w:space="0" w:color="auto"/>
              <w:right w:val="single" w:sz="8" w:space="0" w:color="auto"/>
            </w:tcBorders>
            <w:vAlign w:val="center"/>
          </w:tcPr>
          <w:p w:rsidR="00A22863" w:rsidRPr="007B0D3F" w:rsidRDefault="00A22863" w:rsidP="00F8661E">
            <w:pPr>
              <w:spacing w:after="0"/>
              <w:rPr>
                <w:color w:val="000000"/>
              </w:rPr>
            </w:pPr>
          </w:p>
        </w:tc>
      </w:tr>
      <w:tr w:rsidR="00A22863" w:rsidRPr="007B0D3F" w:rsidTr="00A22863">
        <w:trPr>
          <w:trHeight w:val="435"/>
        </w:trPr>
        <w:tc>
          <w:tcPr>
            <w:tcW w:w="485" w:type="dxa"/>
            <w:vMerge/>
            <w:tcBorders>
              <w:left w:val="single" w:sz="8" w:space="0" w:color="auto"/>
              <w:bottom w:val="single" w:sz="8" w:space="0" w:color="000000"/>
              <w:right w:val="single" w:sz="4" w:space="0" w:color="auto"/>
            </w:tcBorders>
            <w:vAlign w:val="center"/>
          </w:tcPr>
          <w:p w:rsidR="00A22863" w:rsidRPr="007B0D3F" w:rsidRDefault="00A22863" w:rsidP="00F8661E">
            <w:pPr>
              <w:spacing w:after="0"/>
              <w:rPr>
                <w:color w:val="000000"/>
              </w:rPr>
            </w:pPr>
          </w:p>
        </w:tc>
        <w:tc>
          <w:tcPr>
            <w:tcW w:w="4467" w:type="dxa"/>
            <w:vMerge/>
            <w:tcBorders>
              <w:left w:val="single" w:sz="4" w:space="0" w:color="auto"/>
              <w:bottom w:val="single" w:sz="8" w:space="0" w:color="000000"/>
              <w:right w:val="single" w:sz="4" w:space="0" w:color="auto"/>
            </w:tcBorders>
            <w:vAlign w:val="center"/>
          </w:tcPr>
          <w:p w:rsidR="00A22863" w:rsidRPr="007B0D3F" w:rsidRDefault="00A22863" w:rsidP="00F8661E">
            <w:pPr>
              <w:spacing w:after="0"/>
              <w:rPr>
                <w:color w:val="000000"/>
              </w:rPr>
            </w:pPr>
          </w:p>
        </w:tc>
        <w:tc>
          <w:tcPr>
            <w:tcW w:w="4819" w:type="dxa"/>
            <w:vMerge/>
            <w:tcBorders>
              <w:left w:val="single" w:sz="4" w:space="0" w:color="auto"/>
              <w:bottom w:val="single" w:sz="8" w:space="0" w:color="000000"/>
              <w:right w:val="single" w:sz="8" w:space="0" w:color="auto"/>
            </w:tcBorders>
            <w:vAlign w:val="center"/>
          </w:tcPr>
          <w:p w:rsidR="00A22863" w:rsidRPr="007B0D3F" w:rsidRDefault="00A22863" w:rsidP="00F8661E">
            <w:pPr>
              <w:spacing w:after="0"/>
              <w:rPr>
                <w:color w:val="000000"/>
              </w:rPr>
            </w:pPr>
          </w:p>
        </w:tc>
      </w:tr>
      <w:tr w:rsidR="00A22863" w:rsidRPr="007B0D3F" w:rsidTr="00A22863">
        <w:trPr>
          <w:trHeight w:val="413"/>
        </w:trPr>
        <w:tc>
          <w:tcPr>
            <w:tcW w:w="485" w:type="dxa"/>
            <w:vMerge w:val="restart"/>
            <w:tcBorders>
              <w:top w:val="nil"/>
              <w:left w:val="single" w:sz="8" w:space="0" w:color="auto"/>
              <w:right w:val="single" w:sz="4" w:space="0" w:color="auto"/>
            </w:tcBorders>
            <w:shd w:val="clear" w:color="auto" w:fill="auto"/>
            <w:vAlign w:val="center"/>
            <w:hideMark/>
          </w:tcPr>
          <w:p w:rsidR="00A22863" w:rsidRPr="007B0D3F" w:rsidRDefault="00A22863" w:rsidP="00F8661E">
            <w:pPr>
              <w:spacing w:after="0"/>
              <w:jc w:val="center"/>
              <w:rPr>
                <w:color w:val="000000"/>
              </w:rPr>
            </w:pPr>
            <w:r w:rsidRPr="007B0D3F">
              <w:rPr>
                <w:color w:val="000000"/>
              </w:rPr>
              <w:t>3</w:t>
            </w:r>
          </w:p>
        </w:tc>
        <w:tc>
          <w:tcPr>
            <w:tcW w:w="4467" w:type="dxa"/>
            <w:vMerge w:val="restart"/>
            <w:tcBorders>
              <w:top w:val="nil"/>
              <w:left w:val="nil"/>
              <w:right w:val="single" w:sz="4" w:space="0" w:color="auto"/>
            </w:tcBorders>
            <w:shd w:val="clear" w:color="auto" w:fill="auto"/>
            <w:vAlign w:val="center"/>
            <w:hideMark/>
          </w:tcPr>
          <w:p w:rsidR="00A22863" w:rsidRPr="007B0D3F" w:rsidRDefault="00A22863" w:rsidP="00F8661E">
            <w:pPr>
              <w:spacing w:after="0"/>
              <w:rPr>
                <w:color w:val="000000"/>
              </w:rPr>
            </w:pPr>
            <w:r w:rsidRPr="007B0D3F">
              <w:rPr>
                <w:color w:val="000000"/>
              </w:rPr>
              <w:t>Стоимость услуги по открытию счет</w:t>
            </w:r>
            <w:r>
              <w:rPr>
                <w:color w:val="000000"/>
              </w:rPr>
              <w:t>а республиканского оператора</w:t>
            </w:r>
          </w:p>
        </w:tc>
        <w:tc>
          <w:tcPr>
            <w:tcW w:w="4819" w:type="dxa"/>
            <w:vMerge w:val="restart"/>
            <w:tcBorders>
              <w:top w:val="nil"/>
              <w:left w:val="single" w:sz="4" w:space="0" w:color="auto"/>
              <w:right w:val="single" w:sz="8" w:space="0" w:color="auto"/>
            </w:tcBorders>
            <w:shd w:val="clear" w:color="auto" w:fill="auto"/>
            <w:vAlign w:val="center"/>
            <w:hideMark/>
          </w:tcPr>
          <w:p w:rsidR="00A22863" w:rsidRPr="007B0D3F" w:rsidRDefault="00A22863" w:rsidP="00F8661E">
            <w:pPr>
              <w:spacing w:after="0"/>
              <w:jc w:val="center"/>
              <w:rPr>
                <w:color w:val="000000"/>
              </w:rPr>
            </w:pPr>
            <w:r w:rsidRPr="007B0D3F">
              <w:rPr>
                <w:color w:val="000000"/>
              </w:rPr>
              <w:t> </w:t>
            </w:r>
          </w:p>
        </w:tc>
      </w:tr>
      <w:tr w:rsidR="00A22863" w:rsidRPr="007B0D3F" w:rsidTr="00A22863">
        <w:trPr>
          <w:trHeight w:val="412"/>
        </w:trPr>
        <w:tc>
          <w:tcPr>
            <w:tcW w:w="485" w:type="dxa"/>
            <w:vMerge/>
            <w:tcBorders>
              <w:left w:val="single" w:sz="8" w:space="0" w:color="auto"/>
              <w:bottom w:val="nil"/>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nil"/>
              <w:bottom w:val="nil"/>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left w:val="single" w:sz="4" w:space="0" w:color="auto"/>
              <w:bottom w:val="nil"/>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13"/>
        </w:trPr>
        <w:tc>
          <w:tcPr>
            <w:tcW w:w="485" w:type="dxa"/>
            <w:vMerge w:val="restart"/>
            <w:tcBorders>
              <w:top w:val="single" w:sz="8" w:space="0" w:color="auto"/>
              <w:left w:val="single" w:sz="8" w:space="0" w:color="auto"/>
              <w:right w:val="single" w:sz="4" w:space="0" w:color="auto"/>
            </w:tcBorders>
            <w:shd w:val="clear" w:color="auto" w:fill="auto"/>
            <w:vAlign w:val="center"/>
            <w:hideMark/>
          </w:tcPr>
          <w:p w:rsidR="00A22863" w:rsidRPr="007B0D3F" w:rsidRDefault="00A22863" w:rsidP="00F8661E">
            <w:pPr>
              <w:spacing w:after="0"/>
              <w:jc w:val="center"/>
              <w:rPr>
                <w:color w:val="000000"/>
              </w:rPr>
            </w:pPr>
            <w:r w:rsidRPr="007B0D3F">
              <w:rPr>
                <w:color w:val="000000"/>
              </w:rPr>
              <w:t>4</w:t>
            </w:r>
          </w:p>
        </w:tc>
        <w:tc>
          <w:tcPr>
            <w:tcW w:w="4467" w:type="dxa"/>
            <w:vMerge w:val="restart"/>
            <w:tcBorders>
              <w:top w:val="single" w:sz="8" w:space="0" w:color="auto"/>
              <w:left w:val="nil"/>
              <w:right w:val="single" w:sz="4" w:space="0" w:color="auto"/>
            </w:tcBorders>
            <w:shd w:val="clear" w:color="auto" w:fill="auto"/>
            <w:vAlign w:val="center"/>
            <w:hideMark/>
          </w:tcPr>
          <w:p w:rsidR="00A22863" w:rsidRPr="007B0D3F" w:rsidRDefault="00A22863" w:rsidP="00F8661E">
            <w:pPr>
              <w:spacing w:after="0"/>
              <w:rPr>
                <w:color w:val="000000"/>
              </w:rPr>
            </w:pPr>
            <w:r w:rsidRPr="007B0D3F">
              <w:rPr>
                <w:color w:val="000000"/>
              </w:rPr>
              <w:t>Стоимость услуги по обслуживанию счетов</w:t>
            </w:r>
            <w:r>
              <w:rPr>
                <w:color w:val="000000"/>
              </w:rPr>
              <w:t xml:space="preserve"> республиканского оператора</w:t>
            </w:r>
          </w:p>
        </w:tc>
        <w:tc>
          <w:tcPr>
            <w:tcW w:w="4819" w:type="dxa"/>
            <w:vMerge w:val="restart"/>
            <w:tcBorders>
              <w:top w:val="single" w:sz="8" w:space="0" w:color="auto"/>
              <w:left w:val="single" w:sz="4" w:space="0" w:color="auto"/>
              <w:right w:val="single" w:sz="8" w:space="0" w:color="auto"/>
            </w:tcBorders>
            <w:shd w:val="clear" w:color="auto" w:fill="auto"/>
            <w:vAlign w:val="center"/>
            <w:hideMark/>
          </w:tcPr>
          <w:p w:rsidR="00A22863" w:rsidRPr="007B0D3F" w:rsidRDefault="00A22863" w:rsidP="00F8661E">
            <w:pPr>
              <w:spacing w:after="0"/>
              <w:jc w:val="center"/>
              <w:rPr>
                <w:color w:val="000000"/>
              </w:rPr>
            </w:pPr>
            <w:r w:rsidRPr="007B0D3F">
              <w:rPr>
                <w:color w:val="000000"/>
              </w:rPr>
              <w:t> </w:t>
            </w:r>
          </w:p>
        </w:tc>
      </w:tr>
      <w:tr w:rsidR="00A22863" w:rsidRPr="007B0D3F" w:rsidTr="00A22863">
        <w:trPr>
          <w:trHeight w:val="412"/>
        </w:trPr>
        <w:tc>
          <w:tcPr>
            <w:tcW w:w="485" w:type="dxa"/>
            <w:vMerge/>
            <w:tcBorders>
              <w:left w:val="single" w:sz="8" w:space="0" w:color="auto"/>
              <w:bottom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nil"/>
              <w:bottom w:val="single" w:sz="8" w:space="0" w:color="auto"/>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left w:val="single" w:sz="4" w:space="0" w:color="auto"/>
              <w:bottom w:val="single" w:sz="8"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555"/>
        </w:trPr>
        <w:tc>
          <w:tcPr>
            <w:tcW w:w="485" w:type="dxa"/>
            <w:vMerge w:val="restart"/>
            <w:tcBorders>
              <w:top w:val="single" w:sz="8"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5</w:t>
            </w:r>
          </w:p>
        </w:tc>
        <w:tc>
          <w:tcPr>
            <w:tcW w:w="4467" w:type="dxa"/>
            <w:vMerge w:val="restart"/>
            <w:tcBorders>
              <w:top w:val="single" w:sz="8" w:space="0" w:color="auto"/>
              <w:left w:val="nil"/>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Стоимость услуги по установке и обслуживанию системы Интернет-клиент</w:t>
            </w:r>
          </w:p>
        </w:tc>
        <w:tc>
          <w:tcPr>
            <w:tcW w:w="4819" w:type="dxa"/>
            <w:vMerge w:val="restart"/>
            <w:tcBorders>
              <w:top w:val="single" w:sz="8" w:space="0" w:color="auto"/>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555"/>
        </w:trPr>
        <w:tc>
          <w:tcPr>
            <w:tcW w:w="485" w:type="dxa"/>
            <w:vMerge/>
            <w:tcBorders>
              <w:left w:val="single" w:sz="8" w:space="0" w:color="auto"/>
              <w:bottom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nil"/>
              <w:bottom w:val="single" w:sz="8" w:space="0" w:color="auto"/>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left w:val="single" w:sz="4" w:space="0" w:color="auto"/>
              <w:bottom w:val="single" w:sz="8"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13"/>
        </w:trPr>
        <w:tc>
          <w:tcPr>
            <w:tcW w:w="485" w:type="dxa"/>
            <w:vMerge w:val="restart"/>
            <w:tcBorders>
              <w:top w:val="single" w:sz="8"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6</w:t>
            </w:r>
          </w:p>
        </w:tc>
        <w:tc>
          <w:tcPr>
            <w:tcW w:w="4467" w:type="dxa"/>
            <w:vMerge w:val="restart"/>
            <w:tcBorders>
              <w:top w:val="single" w:sz="8" w:space="0" w:color="auto"/>
              <w:left w:val="nil"/>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Стоимость предоставления справок и выписок по всем счетам, открытым в кредитной организации</w:t>
            </w:r>
          </w:p>
        </w:tc>
        <w:tc>
          <w:tcPr>
            <w:tcW w:w="4819" w:type="dxa"/>
            <w:vMerge w:val="restart"/>
            <w:tcBorders>
              <w:top w:val="single" w:sz="8" w:space="0" w:color="auto"/>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12"/>
        </w:trPr>
        <w:tc>
          <w:tcPr>
            <w:tcW w:w="485" w:type="dxa"/>
            <w:vMerge/>
            <w:tcBorders>
              <w:left w:val="single" w:sz="8" w:space="0" w:color="auto"/>
              <w:bottom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nil"/>
              <w:bottom w:val="single" w:sz="8" w:space="0" w:color="auto"/>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left w:val="single" w:sz="4" w:space="0" w:color="auto"/>
              <w:bottom w:val="single" w:sz="8"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1515"/>
        </w:trPr>
        <w:tc>
          <w:tcPr>
            <w:tcW w:w="485" w:type="dxa"/>
            <w:vMerge w:val="restart"/>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lastRenderedPageBreak/>
              <w:t>7</w:t>
            </w:r>
          </w:p>
        </w:tc>
        <w:tc>
          <w:tcPr>
            <w:tcW w:w="4467" w:type="dxa"/>
            <w:vMerge w:val="restart"/>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Стоимость перевода денежных средств со счетов ре</w:t>
            </w:r>
            <w:r>
              <w:rPr>
                <w:color w:val="000000"/>
              </w:rPr>
              <w:t>спубликанского</w:t>
            </w:r>
            <w:r w:rsidRPr="007B0D3F">
              <w:rPr>
                <w:color w:val="000000"/>
              </w:rPr>
              <w:t xml:space="preserve"> оператора на счета, открытые в любых кредитных организациях (как по системе «Дистанционное банковское обслуживание (ДБО)», так и при предоставлении платежных поручений на бумажных носителях)</w:t>
            </w:r>
          </w:p>
        </w:tc>
        <w:tc>
          <w:tcPr>
            <w:tcW w:w="4819" w:type="dxa"/>
            <w:vMerge w:val="restart"/>
            <w:tcBorders>
              <w:top w:val="single" w:sz="4" w:space="0" w:color="auto"/>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1515"/>
        </w:trPr>
        <w:tc>
          <w:tcPr>
            <w:tcW w:w="485" w:type="dxa"/>
            <w:vMerge/>
            <w:tcBorders>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rPr>
                <w:color w:val="000000"/>
              </w:rPr>
            </w:pPr>
          </w:p>
        </w:tc>
        <w:tc>
          <w:tcPr>
            <w:tcW w:w="4819" w:type="dxa"/>
            <w:vMerge/>
            <w:tcBorders>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13"/>
        </w:trPr>
        <w:tc>
          <w:tcPr>
            <w:tcW w:w="485" w:type="dxa"/>
            <w:vMerge w:val="restart"/>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8</w:t>
            </w:r>
          </w:p>
        </w:tc>
        <w:tc>
          <w:tcPr>
            <w:tcW w:w="4467" w:type="dxa"/>
            <w:vMerge w:val="restart"/>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r w:rsidRPr="007B0D3F">
              <w:rPr>
                <w:color w:val="000000"/>
              </w:rPr>
              <w:t>Распространение всех вышеперечисленных условий конкурса по открытию, обслуживанию счетов на все счета, владельцами которых является ре</w:t>
            </w:r>
            <w:r>
              <w:rPr>
                <w:color w:val="000000"/>
              </w:rPr>
              <w:t>спубликанский</w:t>
            </w:r>
            <w:r w:rsidRPr="007B0D3F">
              <w:rPr>
                <w:color w:val="000000"/>
              </w:rPr>
              <w:t xml:space="preserve"> оператор</w:t>
            </w:r>
          </w:p>
        </w:tc>
        <w:tc>
          <w:tcPr>
            <w:tcW w:w="4819" w:type="dxa"/>
            <w:vMerge w:val="restart"/>
            <w:tcBorders>
              <w:top w:val="nil"/>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2094"/>
        </w:trPr>
        <w:tc>
          <w:tcPr>
            <w:tcW w:w="485" w:type="dxa"/>
            <w:vMerge/>
            <w:tcBorders>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p>
        </w:tc>
        <w:tc>
          <w:tcPr>
            <w:tcW w:w="4819" w:type="dxa"/>
            <w:vMerge/>
            <w:tcBorders>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160"/>
        </w:trPr>
        <w:tc>
          <w:tcPr>
            <w:tcW w:w="485" w:type="dxa"/>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Pr>
                <w:color w:val="000000"/>
              </w:rPr>
              <w:t>9</w:t>
            </w:r>
          </w:p>
        </w:tc>
        <w:tc>
          <w:tcPr>
            <w:tcW w:w="4467" w:type="dxa"/>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Начисление и выплата процентов на среднемесячные остатки денежных средств, находящихся на всех счетах, владельцем которых является региональный оператор. Отсутствие ограничений по минимальной сумме и сроку размещения среднемесячных остатков и установление фиксированной процентной ставки вне зависимости от суммы среднего остатка</w:t>
            </w:r>
          </w:p>
        </w:tc>
        <w:tc>
          <w:tcPr>
            <w:tcW w:w="4819" w:type="dxa"/>
            <w:tcBorders>
              <w:top w:val="nil"/>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60"/>
        </w:trPr>
        <w:tc>
          <w:tcPr>
            <w:tcW w:w="485" w:type="dxa"/>
            <w:vMerge w:val="restart"/>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1</w:t>
            </w:r>
            <w:r>
              <w:rPr>
                <w:color w:val="000000"/>
              </w:rPr>
              <w:t>0</w:t>
            </w:r>
          </w:p>
        </w:tc>
        <w:tc>
          <w:tcPr>
            <w:tcW w:w="4467" w:type="dxa"/>
            <w:vMerge w:val="restart"/>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r w:rsidRPr="007B0D3F">
              <w:rPr>
                <w:color w:val="000000"/>
              </w:rPr>
              <w:t>Наличие возможности начисления процентов на сумму неснижаемого остатка на счете регионального оператора</w:t>
            </w:r>
          </w:p>
        </w:tc>
        <w:tc>
          <w:tcPr>
            <w:tcW w:w="4819" w:type="dxa"/>
            <w:vMerge w:val="restart"/>
            <w:tcBorders>
              <w:top w:val="single" w:sz="4" w:space="0" w:color="auto"/>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60"/>
        </w:trPr>
        <w:tc>
          <w:tcPr>
            <w:tcW w:w="485" w:type="dxa"/>
            <w:vMerge/>
            <w:tcBorders>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p>
        </w:tc>
        <w:tc>
          <w:tcPr>
            <w:tcW w:w="4819" w:type="dxa"/>
            <w:vMerge/>
            <w:tcBorders>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460"/>
        </w:trPr>
        <w:tc>
          <w:tcPr>
            <w:tcW w:w="485" w:type="dxa"/>
            <w:vMerge/>
            <w:tcBorders>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p>
        </w:tc>
        <w:tc>
          <w:tcPr>
            <w:tcW w:w="4819" w:type="dxa"/>
            <w:vMerge/>
            <w:tcBorders>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1103"/>
        </w:trPr>
        <w:tc>
          <w:tcPr>
            <w:tcW w:w="485" w:type="dxa"/>
            <w:vMerge w:val="restart"/>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1</w:t>
            </w:r>
            <w:r>
              <w:rPr>
                <w:color w:val="000000"/>
              </w:rPr>
              <w:t>1</w:t>
            </w:r>
          </w:p>
        </w:tc>
        <w:tc>
          <w:tcPr>
            <w:tcW w:w="4467" w:type="dxa"/>
            <w:vMerge w:val="restart"/>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r w:rsidRPr="007B0D3F">
              <w:rPr>
                <w:color w:val="000000"/>
              </w:rPr>
              <w:t>Наличие возможности одновременного использования региональным оператором нескольких продуктов по начислению процентов на остатки: неснижаемые и среднемесячные остатки</w:t>
            </w:r>
          </w:p>
        </w:tc>
        <w:tc>
          <w:tcPr>
            <w:tcW w:w="4819" w:type="dxa"/>
            <w:vMerge w:val="restart"/>
            <w:tcBorders>
              <w:top w:val="single" w:sz="4" w:space="0" w:color="auto"/>
              <w:left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A22863">
        <w:trPr>
          <w:trHeight w:val="1102"/>
        </w:trPr>
        <w:tc>
          <w:tcPr>
            <w:tcW w:w="485" w:type="dxa"/>
            <w:vMerge/>
            <w:tcBorders>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p>
        </w:tc>
        <w:tc>
          <w:tcPr>
            <w:tcW w:w="4467" w:type="dxa"/>
            <w:vMerge/>
            <w:tcBorders>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contextualSpacing/>
              <w:rPr>
                <w:color w:val="000000"/>
              </w:rPr>
            </w:pPr>
          </w:p>
        </w:tc>
        <w:tc>
          <w:tcPr>
            <w:tcW w:w="4819" w:type="dxa"/>
            <w:vMerge/>
            <w:tcBorders>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0971D4" w:rsidRPr="007B0D3F" w:rsidTr="000971D4">
        <w:trPr>
          <w:trHeight w:val="2760"/>
        </w:trPr>
        <w:tc>
          <w:tcPr>
            <w:tcW w:w="485" w:type="dxa"/>
            <w:tcBorders>
              <w:top w:val="single" w:sz="4" w:space="0" w:color="auto"/>
              <w:left w:val="single" w:sz="8" w:space="0" w:color="auto"/>
              <w:right w:val="single" w:sz="4" w:space="0" w:color="auto"/>
            </w:tcBorders>
            <w:shd w:val="clear" w:color="auto" w:fill="auto"/>
            <w:vAlign w:val="center"/>
          </w:tcPr>
          <w:p w:rsidR="000971D4" w:rsidRPr="007B0D3F" w:rsidRDefault="000971D4" w:rsidP="00F8661E">
            <w:pPr>
              <w:spacing w:after="0"/>
              <w:jc w:val="center"/>
              <w:rPr>
                <w:color w:val="000000"/>
              </w:rPr>
            </w:pPr>
            <w:r w:rsidRPr="007B0D3F">
              <w:rPr>
                <w:color w:val="000000"/>
              </w:rPr>
              <w:lastRenderedPageBreak/>
              <w:t>1</w:t>
            </w:r>
            <w:r>
              <w:rPr>
                <w:color w:val="000000"/>
              </w:rPr>
              <w:t>2</w:t>
            </w:r>
          </w:p>
        </w:tc>
        <w:tc>
          <w:tcPr>
            <w:tcW w:w="4467" w:type="dxa"/>
            <w:tcBorders>
              <w:top w:val="single" w:sz="4" w:space="0" w:color="auto"/>
              <w:left w:val="single" w:sz="4" w:space="0" w:color="auto"/>
              <w:right w:val="single" w:sz="4" w:space="0" w:color="auto"/>
            </w:tcBorders>
            <w:shd w:val="clear" w:color="auto" w:fill="auto"/>
            <w:vAlign w:val="center"/>
          </w:tcPr>
          <w:p w:rsidR="000971D4" w:rsidRPr="007B0D3F" w:rsidRDefault="000971D4" w:rsidP="00F8661E">
            <w:pPr>
              <w:spacing w:after="0"/>
              <w:rPr>
                <w:color w:val="000000"/>
              </w:rPr>
            </w:pPr>
            <w:r w:rsidRPr="007B0D3F">
              <w:rPr>
                <w:color w:val="000000"/>
              </w:rPr>
              <w:t>Наличие сервиса интеграционного банк-клиента, который позволит региональному оператору напрямую, используя свою собственную систему учета фондов капитального ремонта, обмениваться электронными документами с системой дистанционного банковского обслуживания банка, обеспечивая работу в режиме «одного окна»</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0971D4" w:rsidRPr="007B0D3F" w:rsidRDefault="000971D4" w:rsidP="00F8661E">
            <w:pPr>
              <w:spacing w:after="0"/>
              <w:jc w:val="center"/>
              <w:rPr>
                <w:color w:val="000000"/>
              </w:rPr>
            </w:pPr>
          </w:p>
        </w:tc>
      </w:tr>
      <w:tr w:rsidR="00A22863" w:rsidRPr="007B0D3F" w:rsidTr="000971D4">
        <w:trPr>
          <w:trHeight w:val="3036"/>
        </w:trPr>
        <w:tc>
          <w:tcPr>
            <w:tcW w:w="485" w:type="dxa"/>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1</w:t>
            </w:r>
            <w:r>
              <w:rPr>
                <w:color w:val="000000"/>
              </w:rPr>
              <w:t>3</w:t>
            </w:r>
          </w:p>
        </w:tc>
        <w:tc>
          <w:tcPr>
            <w:tcW w:w="4467" w:type="dxa"/>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Наличие сервиса центр клиента», позволяющего осуществлять сбор и передачу информации об операциях по всем счетам Клиента;</w:t>
            </w:r>
            <w:r>
              <w:rPr>
                <w:color w:val="000000"/>
              </w:rPr>
              <w:t xml:space="preserve"> в том числе</w:t>
            </w:r>
            <w:r w:rsidRPr="007B0D3F">
              <w:rPr>
                <w:color w:val="000000"/>
              </w:rPr>
              <w:t xml:space="preserve"> </w:t>
            </w:r>
            <w:r>
              <w:rPr>
                <w:color w:val="000000"/>
              </w:rPr>
              <w:t xml:space="preserve">возможность </w:t>
            </w:r>
            <w:r w:rsidRPr="007B0D3F">
              <w:rPr>
                <w:color w:val="000000"/>
              </w:rPr>
              <w:t>контрол</w:t>
            </w:r>
            <w:r>
              <w:rPr>
                <w:color w:val="000000"/>
              </w:rPr>
              <w:t>я</w:t>
            </w:r>
            <w:r w:rsidRPr="007B0D3F">
              <w:rPr>
                <w:color w:val="000000"/>
              </w:rPr>
              <w:t xml:space="preserve"> расходных операций с формированием смет, финансовых планов, планов движения денежных средств, установления лимитов; консолидацию данных по движению денежных средств в различных аналитических центрах</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0971D4">
        <w:trPr>
          <w:trHeight w:val="1380"/>
        </w:trPr>
        <w:tc>
          <w:tcPr>
            <w:tcW w:w="485" w:type="dxa"/>
            <w:tcBorders>
              <w:top w:val="single" w:sz="4" w:space="0" w:color="auto"/>
              <w:left w:val="single" w:sz="8"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1</w:t>
            </w:r>
            <w:r>
              <w:rPr>
                <w:color w:val="000000"/>
              </w:rPr>
              <w:t>4</w:t>
            </w:r>
          </w:p>
        </w:tc>
        <w:tc>
          <w:tcPr>
            <w:tcW w:w="4467" w:type="dxa"/>
            <w:tcBorders>
              <w:top w:val="single" w:sz="4" w:space="0" w:color="auto"/>
              <w:left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Наличие сервиса, позволяющего региональному оператору оперативно получать информацию о состоянии его счетов, в том числе открытых в других кредитных организациях</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A22863" w:rsidRPr="007B0D3F" w:rsidTr="000971D4">
        <w:trPr>
          <w:trHeight w:val="1104"/>
        </w:trPr>
        <w:tc>
          <w:tcPr>
            <w:tcW w:w="485" w:type="dxa"/>
            <w:tcBorders>
              <w:top w:val="single" w:sz="4" w:space="0" w:color="auto"/>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sidRPr="007B0D3F">
              <w:rPr>
                <w:color w:val="000000"/>
              </w:rPr>
              <w:t>1</w:t>
            </w:r>
            <w:r>
              <w:rPr>
                <w:color w:val="000000"/>
              </w:rPr>
              <w:t>5</w:t>
            </w:r>
          </w:p>
        </w:tc>
        <w:tc>
          <w:tcPr>
            <w:tcW w:w="4467" w:type="dxa"/>
            <w:tcBorders>
              <w:top w:val="single" w:sz="4" w:space="0" w:color="auto"/>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Наличие услуги – многоуровневый акцепт платежей по специальным счетам в системе Дистанционного банковского обслуживания</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r w:rsidR="000971D4" w:rsidRPr="007B0D3F" w:rsidTr="000971D4">
        <w:trPr>
          <w:trHeight w:val="1094"/>
        </w:trPr>
        <w:tc>
          <w:tcPr>
            <w:tcW w:w="485" w:type="dxa"/>
            <w:tcBorders>
              <w:top w:val="single" w:sz="4" w:space="0" w:color="auto"/>
              <w:left w:val="single" w:sz="8" w:space="0" w:color="auto"/>
              <w:right w:val="single" w:sz="4" w:space="0" w:color="auto"/>
            </w:tcBorders>
            <w:shd w:val="clear" w:color="auto" w:fill="auto"/>
            <w:vAlign w:val="center"/>
          </w:tcPr>
          <w:p w:rsidR="000971D4" w:rsidRPr="007B0D3F" w:rsidRDefault="000971D4" w:rsidP="00F8661E">
            <w:pPr>
              <w:spacing w:after="0"/>
              <w:jc w:val="center"/>
              <w:rPr>
                <w:color w:val="000000"/>
              </w:rPr>
            </w:pPr>
            <w:r w:rsidRPr="007B0D3F">
              <w:rPr>
                <w:color w:val="000000"/>
              </w:rPr>
              <w:t>1</w:t>
            </w:r>
            <w:r>
              <w:rPr>
                <w:color w:val="000000"/>
              </w:rPr>
              <w:t>6</w:t>
            </w:r>
          </w:p>
        </w:tc>
        <w:tc>
          <w:tcPr>
            <w:tcW w:w="4467" w:type="dxa"/>
            <w:tcBorders>
              <w:top w:val="single" w:sz="4" w:space="0" w:color="auto"/>
              <w:left w:val="single" w:sz="4" w:space="0" w:color="auto"/>
              <w:bottom w:val="single" w:sz="4" w:space="0" w:color="auto"/>
              <w:right w:val="single" w:sz="4" w:space="0" w:color="auto"/>
            </w:tcBorders>
            <w:shd w:val="clear" w:color="auto" w:fill="auto"/>
            <w:vAlign w:val="center"/>
          </w:tcPr>
          <w:p w:rsidR="000971D4" w:rsidRPr="007B0D3F" w:rsidRDefault="000971D4" w:rsidP="00F8661E">
            <w:pPr>
              <w:widowControl w:val="0"/>
              <w:tabs>
                <w:tab w:val="left" w:pos="1097"/>
              </w:tabs>
              <w:suppressAutoHyphens/>
              <w:autoSpaceDE w:val="0"/>
              <w:autoSpaceDN w:val="0"/>
              <w:adjustRightInd w:val="0"/>
              <w:spacing w:after="0"/>
              <w:ind w:hanging="8"/>
              <w:rPr>
                <w:lang w:eastAsia="ar-SA"/>
              </w:rPr>
            </w:pPr>
            <w:r w:rsidRPr="007B0D3F">
              <w:rPr>
                <w:lang w:eastAsia="ar-SA"/>
              </w:rPr>
              <w:t xml:space="preserve">Наличие у кредитной организации специальных программ кредитования </w:t>
            </w:r>
            <w:r>
              <w:rPr>
                <w:lang w:eastAsia="ar-SA"/>
              </w:rPr>
              <w:t>республиканского оператора в целях проведения капитального ремонта</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0971D4" w:rsidRPr="007B0D3F" w:rsidRDefault="000971D4" w:rsidP="00F8661E">
            <w:pPr>
              <w:spacing w:after="0"/>
              <w:jc w:val="center"/>
              <w:rPr>
                <w:color w:val="000000"/>
              </w:rPr>
            </w:pPr>
          </w:p>
        </w:tc>
      </w:tr>
      <w:tr w:rsidR="000971D4" w:rsidRPr="007B0D3F" w:rsidTr="00F8661E">
        <w:trPr>
          <w:trHeight w:val="1415"/>
        </w:trPr>
        <w:tc>
          <w:tcPr>
            <w:tcW w:w="485" w:type="dxa"/>
            <w:tcBorders>
              <w:top w:val="single" w:sz="4" w:space="0" w:color="auto"/>
              <w:left w:val="single" w:sz="8" w:space="0" w:color="auto"/>
              <w:right w:val="single" w:sz="4" w:space="0" w:color="auto"/>
            </w:tcBorders>
            <w:shd w:val="clear" w:color="auto" w:fill="auto"/>
            <w:vAlign w:val="center"/>
          </w:tcPr>
          <w:p w:rsidR="000971D4" w:rsidRPr="007B0D3F" w:rsidRDefault="000971D4" w:rsidP="00F8661E">
            <w:pPr>
              <w:spacing w:after="0"/>
              <w:jc w:val="center"/>
              <w:rPr>
                <w:color w:val="000000"/>
              </w:rPr>
            </w:pPr>
            <w:r w:rsidRPr="007B0D3F">
              <w:rPr>
                <w:color w:val="000000"/>
              </w:rPr>
              <w:t>1</w:t>
            </w:r>
            <w:r>
              <w:rPr>
                <w:color w:val="000000"/>
              </w:rPr>
              <w:t>7</w:t>
            </w:r>
          </w:p>
        </w:tc>
        <w:tc>
          <w:tcPr>
            <w:tcW w:w="4467" w:type="dxa"/>
            <w:tcBorders>
              <w:top w:val="single" w:sz="4" w:space="0" w:color="auto"/>
              <w:left w:val="single" w:sz="4" w:space="0" w:color="auto"/>
              <w:right w:val="single" w:sz="4" w:space="0" w:color="auto"/>
            </w:tcBorders>
            <w:shd w:val="clear" w:color="auto" w:fill="auto"/>
            <w:vAlign w:val="center"/>
          </w:tcPr>
          <w:p w:rsidR="000971D4" w:rsidRPr="007B0D3F" w:rsidRDefault="000971D4" w:rsidP="00F8661E">
            <w:pPr>
              <w:spacing w:after="0"/>
              <w:rPr>
                <w:color w:val="000000"/>
              </w:rPr>
            </w:pPr>
            <w:r w:rsidRPr="007B0D3F">
              <w:rPr>
                <w:color w:val="000000"/>
              </w:rPr>
              <w:t>Продолжительность операционного дня</w:t>
            </w:r>
          </w:p>
        </w:tc>
        <w:tc>
          <w:tcPr>
            <w:tcW w:w="4819" w:type="dxa"/>
            <w:tcBorders>
              <w:top w:val="nil"/>
              <w:left w:val="single" w:sz="4" w:space="0" w:color="auto"/>
              <w:right w:val="single" w:sz="8" w:space="0" w:color="auto"/>
            </w:tcBorders>
            <w:shd w:val="clear" w:color="auto" w:fill="auto"/>
            <w:vAlign w:val="center"/>
          </w:tcPr>
          <w:p w:rsidR="000971D4" w:rsidRPr="007B0D3F" w:rsidRDefault="000971D4" w:rsidP="00F8661E">
            <w:pPr>
              <w:spacing w:after="0"/>
              <w:jc w:val="center"/>
              <w:rPr>
                <w:color w:val="000000"/>
              </w:rPr>
            </w:pPr>
          </w:p>
        </w:tc>
      </w:tr>
      <w:tr w:rsidR="000971D4" w:rsidRPr="007B0D3F" w:rsidTr="000971D4">
        <w:trPr>
          <w:trHeight w:val="940"/>
        </w:trPr>
        <w:tc>
          <w:tcPr>
            <w:tcW w:w="485" w:type="dxa"/>
            <w:tcBorders>
              <w:top w:val="single" w:sz="4" w:space="0" w:color="auto"/>
              <w:left w:val="single" w:sz="8" w:space="0" w:color="auto"/>
              <w:right w:val="single" w:sz="4" w:space="0" w:color="auto"/>
            </w:tcBorders>
            <w:shd w:val="clear" w:color="auto" w:fill="auto"/>
            <w:vAlign w:val="center"/>
          </w:tcPr>
          <w:p w:rsidR="000971D4" w:rsidRPr="007B0D3F" w:rsidRDefault="000971D4" w:rsidP="00F8661E">
            <w:pPr>
              <w:spacing w:after="0"/>
              <w:jc w:val="center"/>
              <w:rPr>
                <w:color w:val="000000"/>
              </w:rPr>
            </w:pPr>
            <w:r w:rsidRPr="007B0D3F">
              <w:rPr>
                <w:color w:val="000000"/>
              </w:rPr>
              <w:t>1</w:t>
            </w:r>
            <w:r>
              <w:rPr>
                <w:color w:val="000000"/>
              </w:rPr>
              <w:t>8</w:t>
            </w:r>
          </w:p>
        </w:tc>
        <w:tc>
          <w:tcPr>
            <w:tcW w:w="4467" w:type="dxa"/>
            <w:tcBorders>
              <w:top w:val="single" w:sz="4" w:space="0" w:color="auto"/>
              <w:left w:val="single" w:sz="4" w:space="0" w:color="auto"/>
              <w:right w:val="single" w:sz="4" w:space="0" w:color="auto"/>
            </w:tcBorders>
            <w:shd w:val="clear" w:color="auto" w:fill="auto"/>
            <w:vAlign w:val="center"/>
          </w:tcPr>
          <w:p w:rsidR="000971D4" w:rsidRPr="007B0D3F" w:rsidRDefault="000971D4" w:rsidP="00F8661E">
            <w:pPr>
              <w:spacing w:after="0"/>
              <w:contextualSpacing/>
              <w:rPr>
                <w:color w:val="000000"/>
              </w:rPr>
            </w:pPr>
            <w:r w:rsidRPr="007B0D3F">
              <w:rPr>
                <w:color w:val="000000"/>
              </w:rPr>
              <w:t>Наличие у кредитной организации территориального структурного подразделения в г. Улан-Удэ</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0971D4" w:rsidRPr="007B0D3F" w:rsidRDefault="000971D4" w:rsidP="00F8661E">
            <w:pPr>
              <w:spacing w:after="0"/>
              <w:jc w:val="center"/>
              <w:rPr>
                <w:color w:val="000000"/>
              </w:rPr>
            </w:pPr>
          </w:p>
        </w:tc>
      </w:tr>
      <w:tr w:rsidR="00A22863" w:rsidRPr="007B0D3F" w:rsidTr="000971D4">
        <w:trPr>
          <w:trHeight w:val="1932"/>
        </w:trPr>
        <w:tc>
          <w:tcPr>
            <w:tcW w:w="485" w:type="dxa"/>
            <w:tcBorders>
              <w:top w:val="single" w:sz="4" w:space="0" w:color="auto"/>
              <w:left w:val="single" w:sz="8" w:space="0" w:color="auto"/>
              <w:bottom w:val="single" w:sz="4" w:space="0" w:color="auto"/>
              <w:right w:val="single" w:sz="4" w:space="0" w:color="auto"/>
            </w:tcBorders>
            <w:shd w:val="clear" w:color="auto" w:fill="auto"/>
            <w:vAlign w:val="center"/>
          </w:tcPr>
          <w:p w:rsidR="00A22863" w:rsidRPr="007B0D3F" w:rsidRDefault="00A22863" w:rsidP="00F8661E">
            <w:pPr>
              <w:spacing w:after="0"/>
              <w:jc w:val="center"/>
              <w:rPr>
                <w:color w:val="000000"/>
              </w:rPr>
            </w:pPr>
            <w:r>
              <w:rPr>
                <w:color w:val="000000"/>
              </w:rPr>
              <w:t>19</w:t>
            </w:r>
          </w:p>
        </w:tc>
        <w:tc>
          <w:tcPr>
            <w:tcW w:w="4467" w:type="dxa"/>
            <w:tcBorders>
              <w:top w:val="single" w:sz="4" w:space="0" w:color="auto"/>
              <w:left w:val="single" w:sz="4" w:space="0" w:color="auto"/>
              <w:bottom w:val="single" w:sz="4" w:space="0" w:color="auto"/>
              <w:right w:val="single" w:sz="4" w:space="0" w:color="auto"/>
            </w:tcBorders>
            <w:shd w:val="clear" w:color="auto" w:fill="auto"/>
            <w:vAlign w:val="center"/>
          </w:tcPr>
          <w:p w:rsidR="00A22863" w:rsidRPr="007B0D3F" w:rsidRDefault="00A22863" w:rsidP="00F8661E">
            <w:pPr>
              <w:spacing w:after="0"/>
              <w:rPr>
                <w:color w:val="000000"/>
              </w:rPr>
            </w:pPr>
            <w:r w:rsidRPr="007B0D3F">
              <w:rPr>
                <w:color w:val="000000"/>
              </w:rPr>
              <w:t>Наличие возможности приема взносов на капитальный ремонта от населения через сеть отделений кредитной организации и/или через сеть отделений партнера кредитной организации в соответствии с заключенными соглашениями о сотрудничестве</w:t>
            </w:r>
          </w:p>
        </w:tc>
        <w:tc>
          <w:tcPr>
            <w:tcW w:w="4819" w:type="dxa"/>
            <w:tcBorders>
              <w:top w:val="single" w:sz="4" w:space="0" w:color="auto"/>
              <w:left w:val="single" w:sz="4" w:space="0" w:color="auto"/>
              <w:bottom w:val="single" w:sz="4" w:space="0" w:color="auto"/>
              <w:right w:val="single" w:sz="8" w:space="0" w:color="auto"/>
            </w:tcBorders>
            <w:shd w:val="clear" w:color="auto" w:fill="auto"/>
            <w:vAlign w:val="center"/>
          </w:tcPr>
          <w:p w:rsidR="00A22863" w:rsidRPr="007B0D3F" w:rsidRDefault="00A22863" w:rsidP="00F8661E">
            <w:pPr>
              <w:spacing w:after="0"/>
              <w:jc w:val="center"/>
              <w:rPr>
                <w:color w:val="000000"/>
              </w:rPr>
            </w:pPr>
          </w:p>
        </w:tc>
      </w:tr>
    </w:tbl>
    <w:p w:rsidR="00A359D3" w:rsidRPr="009262B2" w:rsidRDefault="00A359D3" w:rsidP="00A359D3">
      <w:pPr>
        <w:widowControl w:val="0"/>
        <w:spacing w:after="0"/>
        <w:rPr>
          <w:kern w:val="32"/>
        </w:rPr>
      </w:pPr>
      <w:r w:rsidRPr="009262B2">
        <w:rPr>
          <w:b/>
          <w:kern w:val="32"/>
        </w:rPr>
        <w:t>Руководитель организации</w:t>
      </w:r>
      <w:r w:rsidRPr="009262B2">
        <w:rPr>
          <w:kern w:val="32"/>
        </w:rPr>
        <w:t xml:space="preserve"> _____________________ (Фамилия И.О.)</w:t>
      </w:r>
    </w:p>
    <w:p w:rsidR="00A359D3" w:rsidRPr="009262B2" w:rsidRDefault="00A359D3" w:rsidP="00A359D3">
      <w:pPr>
        <w:spacing w:before="100" w:beforeAutospacing="1" w:after="100" w:afterAutospacing="1"/>
        <w:rPr>
          <w:sz w:val="28"/>
          <w:szCs w:val="28"/>
        </w:rPr>
      </w:pPr>
      <w:r w:rsidRPr="009262B2">
        <w:rPr>
          <w:i/>
          <w:kern w:val="32"/>
          <w:vertAlign w:val="superscript"/>
        </w:rPr>
        <w:t>М.П.</w:t>
      </w:r>
    </w:p>
    <w:p w:rsidR="00A359D3" w:rsidRPr="009262B2" w:rsidRDefault="00A359D3" w:rsidP="00A359D3">
      <w:pPr>
        <w:widowControl w:val="0"/>
        <w:rPr>
          <w:b/>
        </w:rPr>
      </w:pPr>
      <w:bookmarkStart w:id="2" w:name="_GoBack"/>
      <w:bookmarkEnd w:id="0"/>
      <w:bookmarkEnd w:id="1"/>
      <w:bookmarkEnd w:id="2"/>
    </w:p>
    <w:sectPr w:rsidR="00A359D3" w:rsidRPr="009262B2"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33E" w:rsidRDefault="00BD033E">
      <w:r>
        <w:separator/>
      </w:r>
    </w:p>
    <w:p w:rsidR="00BD033E" w:rsidRDefault="00BD033E"/>
  </w:endnote>
  <w:endnote w:type="continuationSeparator" w:id="0">
    <w:p w:rsidR="00BD033E" w:rsidRDefault="00BD033E">
      <w:r>
        <w:continuationSeparator/>
      </w:r>
    </w:p>
    <w:p w:rsidR="00BD033E" w:rsidRDefault="00BD0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5F452B">
      <w:t>4</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33E" w:rsidRDefault="00BD033E">
      <w:r>
        <w:separator/>
      </w:r>
    </w:p>
    <w:p w:rsidR="00BD033E" w:rsidRDefault="00BD033E"/>
  </w:footnote>
  <w:footnote w:type="continuationSeparator" w:id="0">
    <w:p w:rsidR="00BD033E" w:rsidRDefault="00BD033E">
      <w:r>
        <w:continuationSeparator/>
      </w:r>
    </w:p>
    <w:p w:rsidR="00BD033E" w:rsidRDefault="00BD03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90212"/>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5F452B"/>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842"/>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70B1"/>
    <w:rsid w:val="00AB5AE1"/>
    <w:rsid w:val="00AB7B38"/>
    <w:rsid w:val="00AC09B2"/>
    <w:rsid w:val="00AC1E2F"/>
    <w:rsid w:val="00AC6F25"/>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033E"/>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A1F45-E2AD-4D42-B1BF-85FA5841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558</Words>
  <Characters>3183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2014-07-02T09:43:00Z</dcterms:created>
  <dcterms:modified xsi:type="dcterms:W3CDTF">2014-07-02T09:43:00Z</dcterms:modified>
</cp:coreProperties>
</file>